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409" w:rsidRPr="00940451" w:rsidRDefault="00E86409" w:rsidP="00654FF7">
      <w:pPr>
        <w:autoSpaceDE w:val="0"/>
        <w:autoSpaceDN w:val="0"/>
        <w:adjustRightInd w:val="0"/>
        <w:rPr>
          <w:rStyle w:val="Zvraznenie"/>
        </w:rPr>
      </w:pPr>
    </w:p>
    <w:p w:rsidR="00107AC7" w:rsidRDefault="004416A0" w:rsidP="00F26042">
      <w:pPr>
        <w:autoSpaceDE w:val="0"/>
        <w:autoSpaceDN w:val="0"/>
        <w:adjustRightInd w:val="0"/>
        <w:ind w:right="-180"/>
        <w:rPr>
          <w:rFonts w:ascii="Garamond" w:hAnsi="Garamond" w:cs="Garamond"/>
          <w:noProof/>
        </w:rPr>
      </w:pPr>
      <w:r>
        <w:rPr>
          <w:rFonts w:ascii="Garamond" w:hAnsi="Garamond" w:cs="Garamond"/>
          <w:noProof/>
          <w:lang w:bidi="ar-SA"/>
        </w:rPr>
        <w:drawing>
          <wp:inline distT="0" distB="0" distL="0" distR="0">
            <wp:extent cx="2876550" cy="1076325"/>
            <wp:effectExtent l="19050" t="0" r="0" b="0"/>
            <wp:docPr id="1" name="Obrázok 1" descr="Peakston_logo_2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kston_logo_2015-1"/>
                    <pic:cNvPicPr>
                      <a:picLocks noChangeAspect="1" noChangeArrowheads="1"/>
                    </pic:cNvPicPr>
                  </pic:nvPicPr>
                  <pic:blipFill>
                    <a:blip r:embed="rId5"/>
                    <a:srcRect/>
                    <a:stretch>
                      <a:fillRect/>
                    </a:stretch>
                  </pic:blipFill>
                  <pic:spPr bwMode="auto">
                    <a:xfrm>
                      <a:off x="0" y="0"/>
                      <a:ext cx="2876550" cy="1076325"/>
                    </a:xfrm>
                    <a:prstGeom prst="rect">
                      <a:avLst/>
                    </a:prstGeom>
                    <a:noFill/>
                    <a:ln w="9525">
                      <a:noFill/>
                      <a:miter lim="800000"/>
                      <a:headEnd/>
                      <a:tailEnd/>
                    </a:ln>
                  </pic:spPr>
                </pic:pic>
              </a:graphicData>
            </a:graphic>
          </wp:inline>
        </w:drawing>
      </w:r>
    </w:p>
    <w:p w:rsidR="00107AC7" w:rsidRDefault="00107AC7" w:rsidP="00F26042">
      <w:pPr>
        <w:autoSpaceDE w:val="0"/>
        <w:autoSpaceDN w:val="0"/>
        <w:adjustRightInd w:val="0"/>
        <w:ind w:right="-180"/>
        <w:rPr>
          <w:rFonts w:ascii="Garamond" w:hAnsi="Garamond" w:cs="Garamond"/>
          <w:noProof/>
        </w:rPr>
      </w:pPr>
    </w:p>
    <w:p w:rsidR="00E86409" w:rsidRDefault="00E86409" w:rsidP="00845EA0">
      <w:pPr>
        <w:autoSpaceDE w:val="0"/>
        <w:autoSpaceDN w:val="0"/>
        <w:adjustRightInd w:val="0"/>
        <w:rPr>
          <w:rFonts w:ascii="Arial" w:hAnsi="Arial" w:cs="Arial"/>
          <w:b/>
          <w:bCs/>
          <w:sz w:val="36"/>
          <w:szCs w:val="36"/>
        </w:rPr>
      </w:pPr>
      <w:r>
        <w:rPr>
          <w:rFonts w:ascii="Arial" w:hAnsi="Arial"/>
          <w:b/>
          <w:sz w:val="36"/>
        </w:rPr>
        <w:t>PEAKSTON Fixabond</w:t>
      </w:r>
    </w:p>
    <w:p w:rsidR="00E86409" w:rsidRPr="00A14A27" w:rsidRDefault="00E86409" w:rsidP="00845EA0">
      <w:pPr>
        <w:autoSpaceDE w:val="0"/>
        <w:autoSpaceDN w:val="0"/>
        <w:adjustRightInd w:val="0"/>
        <w:rPr>
          <w:rFonts w:ascii="Arial" w:hAnsi="Arial" w:cs="Arial"/>
          <w:sz w:val="16"/>
          <w:szCs w:val="16"/>
        </w:rPr>
      </w:pPr>
    </w:p>
    <w:p w:rsidR="00E86409" w:rsidRPr="006D7B2D" w:rsidRDefault="00E86409" w:rsidP="00845EA0">
      <w:pPr>
        <w:autoSpaceDE w:val="0"/>
        <w:autoSpaceDN w:val="0"/>
        <w:adjustRightInd w:val="0"/>
        <w:rPr>
          <w:rFonts w:ascii="Arial" w:hAnsi="Arial" w:cs="Arial"/>
          <w:sz w:val="28"/>
          <w:szCs w:val="28"/>
        </w:rPr>
      </w:pPr>
      <w:r>
        <w:rPr>
          <w:rFonts w:ascii="Arial" w:hAnsi="Arial"/>
          <w:sz w:val="28"/>
        </w:rPr>
        <w:t>Adhézny mostík</w:t>
      </w:r>
    </w:p>
    <w:p w:rsidR="00E86409" w:rsidRPr="00845EA0" w:rsidRDefault="00E86409" w:rsidP="00845EA0">
      <w:pPr>
        <w:rPr>
          <w:sz w:val="20"/>
          <w:szCs w:val="20"/>
        </w:rPr>
      </w:pPr>
    </w:p>
    <w:p w:rsidR="00E86409" w:rsidRPr="00845EA0" w:rsidRDefault="00E86409" w:rsidP="00845EA0">
      <w:pPr>
        <w:numPr>
          <w:ilvl w:val="0"/>
          <w:numId w:val="1"/>
        </w:numPr>
        <w:tabs>
          <w:tab w:val="clear" w:pos="720"/>
          <w:tab w:val="num" w:pos="0"/>
          <w:tab w:val="left" w:pos="360"/>
        </w:tabs>
        <w:autoSpaceDE w:val="0"/>
        <w:autoSpaceDN w:val="0"/>
        <w:adjustRightInd w:val="0"/>
        <w:ind w:left="0" w:firstLine="0"/>
        <w:rPr>
          <w:rFonts w:ascii="Arial" w:hAnsi="Arial" w:cs="Arial"/>
          <w:sz w:val="20"/>
          <w:szCs w:val="20"/>
        </w:rPr>
      </w:pPr>
      <w:r>
        <w:rPr>
          <w:rFonts w:ascii="Arial" w:hAnsi="Arial"/>
          <w:sz w:val="20"/>
        </w:rPr>
        <w:t>Vynikajúca priľnavosť</w:t>
      </w:r>
    </w:p>
    <w:p w:rsidR="00E86409" w:rsidRDefault="00E86409" w:rsidP="00845EA0">
      <w:pPr>
        <w:numPr>
          <w:ilvl w:val="0"/>
          <w:numId w:val="1"/>
        </w:numPr>
        <w:tabs>
          <w:tab w:val="clear" w:pos="720"/>
          <w:tab w:val="num" w:pos="0"/>
          <w:tab w:val="left" w:pos="360"/>
        </w:tabs>
        <w:autoSpaceDE w:val="0"/>
        <w:autoSpaceDN w:val="0"/>
        <w:adjustRightInd w:val="0"/>
        <w:ind w:left="0" w:firstLine="0"/>
        <w:rPr>
          <w:rFonts w:ascii="Arial" w:hAnsi="Arial" w:cs="Arial"/>
          <w:sz w:val="20"/>
          <w:szCs w:val="20"/>
        </w:rPr>
      </w:pPr>
      <w:r>
        <w:rPr>
          <w:rFonts w:ascii="Arial" w:hAnsi="Arial"/>
          <w:sz w:val="20"/>
        </w:rPr>
        <w:t>Rýchloschnúca, vysoká výdatnosť</w:t>
      </w:r>
    </w:p>
    <w:p w:rsidR="00E86409" w:rsidRPr="00845EA0" w:rsidRDefault="00E86409" w:rsidP="00845EA0">
      <w:pPr>
        <w:numPr>
          <w:ilvl w:val="0"/>
          <w:numId w:val="1"/>
        </w:numPr>
        <w:tabs>
          <w:tab w:val="clear" w:pos="720"/>
          <w:tab w:val="num" w:pos="0"/>
          <w:tab w:val="left" w:pos="360"/>
        </w:tabs>
        <w:autoSpaceDE w:val="0"/>
        <w:autoSpaceDN w:val="0"/>
        <w:adjustRightInd w:val="0"/>
        <w:ind w:left="0" w:firstLine="0"/>
        <w:rPr>
          <w:rFonts w:ascii="Arial" w:hAnsi="Arial" w:cs="Arial"/>
          <w:sz w:val="20"/>
          <w:szCs w:val="20"/>
        </w:rPr>
      </w:pPr>
      <w:r>
        <w:rPr>
          <w:rFonts w:ascii="Arial" w:hAnsi="Arial"/>
          <w:sz w:val="20"/>
        </w:rPr>
        <w:t>Nanášateľná valčekom, zatierateľná</w:t>
      </w:r>
    </w:p>
    <w:p w:rsidR="00E86409" w:rsidRPr="00845EA0" w:rsidRDefault="00E86409" w:rsidP="00845EA0">
      <w:pPr>
        <w:numPr>
          <w:ilvl w:val="0"/>
          <w:numId w:val="1"/>
        </w:numPr>
        <w:tabs>
          <w:tab w:val="clear" w:pos="720"/>
          <w:tab w:val="num" w:pos="0"/>
          <w:tab w:val="left" w:pos="360"/>
        </w:tabs>
        <w:autoSpaceDE w:val="0"/>
        <w:autoSpaceDN w:val="0"/>
        <w:adjustRightInd w:val="0"/>
        <w:ind w:left="0" w:firstLine="0"/>
        <w:rPr>
          <w:rFonts w:ascii="Arial" w:hAnsi="Arial" w:cs="Arial"/>
          <w:sz w:val="20"/>
          <w:szCs w:val="20"/>
        </w:rPr>
      </w:pPr>
      <w:r>
        <w:rPr>
          <w:rFonts w:ascii="Arial" w:hAnsi="Arial"/>
          <w:sz w:val="20"/>
        </w:rPr>
        <w:t>Na hladké, nesavé povrchy</w:t>
      </w:r>
    </w:p>
    <w:p w:rsidR="00E86409" w:rsidRPr="006D7B2D" w:rsidRDefault="00E86409" w:rsidP="006D7B2D">
      <w:pPr>
        <w:numPr>
          <w:ilvl w:val="0"/>
          <w:numId w:val="1"/>
        </w:numPr>
        <w:tabs>
          <w:tab w:val="clear" w:pos="720"/>
          <w:tab w:val="num" w:pos="0"/>
          <w:tab w:val="left" w:pos="360"/>
        </w:tabs>
        <w:autoSpaceDE w:val="0"/>
        <w:autoSpaceDN w:val="0"/>
        <w:adjustRightInd w:val="0"/>
        <w:ind w:left="0" w:firstLine="0"/>
        <w:rPr>
          <w:rFonts w:ascii="Arial" w:hAnsi="Arial" w:cs="Arial"/>
          <w:sz w:val="20"/>
          <w:szCs w:val="20"/>
        </w:rPr>
      </w:pPr>
      <w:r>
        <w:rPr>
          <w:rFonts w:ascii="Arial" w:hAnsi="Arial"/>
          <w:sz w:val="20"/>
        </w:rPr>
        <w:t xml:space="preserve">Aj na lepenie na existujúce obklady </w:t>
      </w:r>
    </w:p>
    <w:p w:rsidR="00E86409" w:rsidRPr="00845EA0" w:rsidRDefault="00E86409" w:rsidP="00845EA0">
      <w:pPr>
        <w:autoSpaceDE w:val="0"/>
        <w:autoSpaceDN w:val="0"/>
        <w:adjustRightInd w:val="0"/>
        <w:rPr>
          <w:rFonts w:ascii="Arial" w:hAnsi="Arial" w:cs="Arial"/>
          <w:b/>
          <w:bCs/>
          <w:sz w:val="20"/>
          <w:szCs w:val="20"/>
        </w:rPr>
      </w:pPr>
    </w:p>
    <w:p w:rsidR="00E86409" w:rsidRPr="00B47ECB" w:rsidRDefault="00E86409" w:rsidP="00B47ECB">
      <w:pPr>
        <w:autoSpaceDE w:val="0"/>
        <w:autoSpaceDN w:val="0"/>
        <w:adjustRightInd w:val="0"/>
        <w:rPr>
          <w:rFonts w:ascii="Arial" w:hAnsi="Arial" w:cs="Arial"/>
          <w:b/>
          <w:bCs/>
          <w:sz w:val="20"/>
          <w:szCs w:val="20"/>
        </w:rPr>
      </w:pPr>
      <w:r>
        <w:rPr>
          <w:rFonts w:ascii="Arial" w:hAnsi="Arial"/>
          <w:b/>
          <w:sz w:val="20"/>
        </w:rPr>
        <w:t>Používanie:</w:t>
      </w:r>
    </w:p>
    <w:p w:rsidR="00E86409" w:rsidRPr="00220652" w:rsidRDefault="00E86409" w:rsidP="00D9778D">
      <w:pPr>
        <w:pStyle w:val="Default"/>
        <w:jc w:val="both"/>
        <w:rPr>
          <w:rFonts w:ascii="Calibri" w:hAnsi="Calibri" w:cs="Calibri"/>
        </w:rPr>
      </w:pPr>
      <w:r>
        <w:rPr>
          <w:sz w:val="20"/>
        </w:rPr>
        <w:t>Adhézny mostík PEAKSTON Fixabond je pripravený na okamžité použitie, je určený na zvýšenie priľnavosť kritických interiérových podkladov pred lepením obkladov. Je vhodný na ošetrenie hladkých betónových povrchov pred nanesením omietky, na prípravu povrchov pred lepením metódou „dlažba na dlažbu“, t.j. bez odstránenia pôvodných povrchových vrstiev, ďalej na zvýšenie priľnavosti a nastavenie rovnomernej nasiakavosti.</w:t>
      </w:r>
    </w:p>
    <w:p w:rsidR="00E86409" w:rsidRPr="00B47ECB" w:rsidRDefault="00E86409" w:rsidP="00D9778D">
      <w:pPr>
        <w:pStyle w:val="Default"/>
        <w:jc w:val="both"/>
        <w:rPr>
          <w:sz w:val="20"/>
          <w:szCs w:val="20"/>
        </w:rPr>
      </w:pPr>
      <w:r>
        <w:rPr>
          <w:sz w:val="20"/>
        </w:rPr>
        <w:t xml:space="preserve">Používa sa ako adhézny mostík na hladké, nesavé povrchy (napr. staré glazované a neglazované keramické obklady, akékoľvek kamenné obklady, silné vrstvy starých náterov, prírodné a umelé kamene, tenké vrstvy kobercových lepidiel, betónové prvky s uzavretými pórmi, OSB dosky, atď.). </w:t>
      </w:r>
    </w:p>
    <w:p w:rsidR="00E86409" w:rsidRDefault="00E86409" w:rsidP="00D9778D">
      <w:pPr>
        <w:autoSpaceDE w:val="0"/>
        <w:autoSpaceDN w:val="0"/>
        <w:adjustRightInd w:val="0"/>
        <w:jc w:val="both"/>
        <w:rPr>
          <w:rFonts w:ascii="Arial" w:hAnsi="Arial" w:cs="Arial"/>
          <w:sz w:val="20"/>
          <w:szCs w:val="20"/>
        </w:rPr>
      </w:pPr>
      <w:r>
        <w:rPr>
          <w:rFonts w:ascii="Arial" w:hAnsi="Arial"/>
          <w:sz w:val="20"/>
        </w:rPr>
        <w:t>PEAKSTON Fixabond je možné použiť aj v priestoroch s podlahovým kúrením, ale nie je vhodný v prostredí vystavenom dlhodobej vlhkosti.</w:t>
      </w:r>
    </w:p>
    <w:p w:rsidR="00E86409" w:rsidRPr="00B47ECB" w:rsidRDefault="00E86409" w:rsidP="00B47ECB">
      <w:pPr>
        <w:autoSpaceDE w:val="0"/>
        <w:autoSpaceDN w:val="0"/>
        <w:adjustRightInd w:val="0"/>
        <w:rPr>
          <w:rFonts w:ascii="Arial" w:hAnsi="Arial" w:cs="Arial"/>
          <w:b/>
          <w:bCs/>
          <w:sz w:val="20"/>
          <w:szCs w:val="20"/>
        </w:rPr>
      </w:pPr>
      <w:r>
        <w:rPr>
          <w:rFonts w:ascii="Arial" w:hAnsi="Arial"/>
          <w:sz w:val="20"/>
        </w:rPr>
        <w:t xml:space="preserve"> </w:t>
      </w:r>
    </w:p>
    <w:p w:rsidR="00E86409" w:rsidRPr="001E75BE" w:rsidRDefault="00E86409" w:rsidP="001E75BE">
      <w:pPr>
        <w:autoSpaceDE w:val="0"/>
        <w:autoSpaceDN w:val="0"/>
        <w:adjustRightInd w:val="0"/>
        <w:rPr>
          <w:rFonts w:ascii="Arial" w:hAnsi="Arial" w:cs="Arial"/>
          <w:b/>
          <w:bCs/>
          <w:sz w:val="20"/>
          <w:szCs w:val="20"/>
        </w:rPr>
      </w:pPr>
      <w:r>
        <w:rPr>
          <w:rFonts w:ascii="Arial" w:hAnsi="Arial"/>
          <w:b/>
          <w:sz w:val="20"/>
        </w:rPr>
        <w:t>Príprava podkladu:</w:t>
      </w:r>
    </w:p>
    <w:p w:rsidR="00E86409" w:rsidRDefault="00E86409" w:rsidP="00D9778D">
      <w:pPr>
        <w:pStyle w:val="Default"/>
        <w:jc w:val="both"/>
        <w:rPr>
          <w:sz w:val="20"/>
          <w:szCs w:val="20"/>
        </w:rPr>
      </w:pPr>
      <w:r>
        <w:rPr>
          <w:sz w:val="20"/>
        </w:rPr>
        <w:t>Podklad musí byť čistý, suchý, pevný, bez soľných výkvetov, mastnôt, oleja a iných nečistôt. Nesúdržné, odlupujúce sa časti povrchu treba mechanicky odstrániť. Očistený povrch treba opraviť, povrchové nerovnosti treba vyrovnať.</w:t>
      </w:r>
    </w:p>
    <w:p w:rsidR="00E86409" w:rsidRDefault="00E86409" w:rsidP="00845EA0">
      <w:pPr>
        <w:autoSpaceDE w:val="0"/>
        <w:autoSpaceDN w:val="0"/>
        <w:adjustRightInd w:val="0"/>
        <w:rPr>
          <w:rFonts w:ascii="Arial" w:hAnsi="Arial" w:cs="Arial"/>
          <w:color w:val="000000"/>
          <w:sz w:val="20"/>
          <w:szCs w:val="20"/>
        </w:rPr>
      </w:pPr>
    </w:p>
    <w:p w:rsidR="00E86409" w:rsidRPr="001E75BE" w:rsidRDefault="00E86409" w:rsidP="001E75BE">
      <w:pPr>
        <w:autoSpaceDE w:val="0"/>
        <w:autoSpaceDN w:val="0"/>
        <w:adjustRightInd w:val="0"/>
        <w:rPr>
          <w:rFonts w:ascii="Arial" w:hAnsi="Arial" w:cs="Arial"/>
          <w:b/>
          <w:bCs/>
          <w:sz w:val="20"/>
          <w:szCs w:val="20"/>
        </w:rPr>
      </w:pPr>
      <w:r>
        <w:rPr>
          <w:rFonts w:ascii="Arial" w:hAnsi="Arial"/>
          <w:b/>
          <w:sz w:val="20"/>
        </w:rPr>
        <w:t>Použitie:</w:t>
      </w:r>
    </w:p>
    <w:p w:rsidR="00E86409" w:rsidRPr="0002139E" w:rsidRDefault="00E86409" w:rsidP="00D9778D">
      <w:pPr>
        <w:autoSpaceDE w:val="0"/>
        <w:autoSpaceDN w:val="0"/>
        <w:adjustRightInd w:val="0"/>
        <w:jc w:val="both"/>
        <w:rPr>
          <w:rFonts w:ascii="Arial" w:hAnsi="Arial" w:cs="Arial"/>
          <w:color w:val="000000"/>
          <w:sz w:val="20"/>
          <w:szCs w:val="20"/>
        </w:rPr>
      </w:pPr>
      <w:r>
        <w:rPr>
          <w:rFonts w:ascii="Arial" w:hAnsi="Arial"/>
          <w:sz w:val="20"/>
        </w:rPr>
        <w:t>Adhézny mostík PEAKSTON Fixabond pred použitím dôkladne premiešajte pomaly bežiacou ručnou vŕtačkou s miešacím nadstavcom (cca 2 min.) Materiál nanášajte bez riedenia štetcom alebo valčekom. Naraz naneste len toľko hmoty z nádoby na podklad, aby sa na povrchu nevytvorili miesta s hrubou vrstvou materiálu.V prípade podkladov s vysokou porozitou sa odporúča naniesť hmotu v dvoch vrstvách. Prvú vrstvu rieďte v pomere 1:1, druhú naneste bez riedenia po úplnom vyschnutí prvej vrstvy.</w:t>
      </w:r>
    </w:p>
    <w:p w:rsidR="00E86409" w:rsidRPr="00E553A6" w:rsidRDefault="00E86409" w:rsidP="00D9778D">
      <w:pPr>
        <w:pStyle w:val="Default"/>
        <w:jc w:val="both"/>
        <w:rPr>
          <w:sz w:val="20"/>
          <w:szCs w:val="20"/>
        </w:rPr>
      </w:pPr>
      <w:r>
        <w:rPr>
          <w:sz w:val="20"/>
        </w:rPr>
        <w:t xml:space="preserve">PEAKSTON Fixabond vyschne veľmi rýchlo, lepenie obkladov je možné realizovať po 2 hod. Pred tým však treba skontrolovať dokonalé vytvrdnutie materiálu vrypovou skúškou.  </w:t>
      </w:r>
    </w:p>
    <w:p w:rsidR="00E86409" w:rsidRDefault="00E86409" w:rsidP="00845EA0">
      <w:pPr>
        <w:autoSpaceDE w:val="0"/>
        <w:autoSpaceDN w:val="0"/>
        <w:adjustRightInd w:val="0"/>
        <w:rPr>
          <w:rFonts w:ascii="Arial" w:hAnsi="Arial" w:cs="Arial"/>
          <w:sz w:val="20"/>
          <w:szCs w:val="20"/>
        </w:rPr>
      </w:pPr>
    </w:p>
    <w:p w:rsidR="00E86409" w:rsidRPr="00E553A6" w:rsidRDefault="00E86409" w:rsidP="00E553A6">
      <w:pPr>
        <w:autoSpaceDE w:val="0"/>
        <w:autoSpaceDN w:val="0"/>
        <w:adjustRightInd w:val="0"/>
        <w:rPr>
          <w:rFonts w:ascii="Arial" w:hAnsi="Arial" w:cs="Arial"/>
          <w:b/>
          <w:bCs/>
          <w:sz w:val="20"/>
          <w:szCs w:val="20"/>
        </w:rPr>
      </w:pPr>
      <w:r>
        <w:rPr>
          <w:rFonts w:ascii="Arial" w:hAnsi="Arial"/>
          <w:b/>
          <w:sz w:val="20"/>
        </w:rPr>
        <w:t>Poznámky:</w:t>
      </w:r>
    </w:p>
    <w:p w:rsidR="00E86409" w:rsidRPr="00A14A27" w:rsidRDefault="00E86409" w:rsidP="00FF67CB">
      <w:pPr>
        <w:pStyle w:val="Default"/>
        <w:jc w:val="both"/>
        <w:rPr>
          <w:rFonts w:ascii="Calibri" w:hAnsi="Calibri" w:cs="Calibri"/>
        </w:rPr>
      </w:pPr>
      <w:r>
        <w:rPr>
          <w:sz w:val="20"/>
        </w:rPr>
        <w:t>Parametre uvedené na technickom liste sú platné pri teplote okolia 23 °C, pri relatívnej vlhkosti 50%. Pri vyšších teplotách a nižších hodnotách vlhkosti doby zapracovateľnosti a vytvrdnutia sa môžu skrátiť, pri nižších teplotách a vyšších hodnotách vlhkosti sa tieto doby môžu predĺžiť. Pri aplikovaní teplota podkladu, materiálu a okolia má byť nad +5°C.  Prípadné usadené častice treba rozmiešať. Ak na betónovom povrchu je viditeľná kondenzovaná vodná para alebo vlhkosť, resp. ak vlhkosť betónu je nad 4 %, nezačnite s nanášaním materiálu. Ak betónový povrch sa čistil vysokotlakovým čistiacim zariadením, pred nanášaním materiálu treba počkať aspoň 24 hodín. Po ukončení práce náradie okamžite umyte vodou. Povrchy na ktoré sa nenanáša adhézny mostík PEAKSTON Fixabond, treba vhodným spôsobom chrániť. Prípadné vzniknuté nečistoty treba podľa možností ešte v čerstvom stave odstrániť z povrchu pomocou čistej vody.</w:t>
      </w:r>
    </w:p>
    <w:p w:rsidR="00E86409" w:rsidRPr="00845EA0" w:rsidRDefault="00E86409" w:rsidP="00845EA0">
      <w:pPr>
        <w:autoSpaceDE w:val="0"/>
        <w:autoSpaceDN w:val="0"/>
        <w:adjustRightInd w:val="0"/>
        <w:rPr>
          <w:rFonts w:ascii="Arial" w:hAnsi="Arial" w:cs="Arial"/>
          <w:sz w:val="20"/>
          <w:szCs w:val="20"/>
        </w:rPr>
      </w:pPr>
    </w:p>
    <w:p w:rsidR="00E86409" w:rsidRPr="004C2237" w:rsidRDefault="00E86409" w:rsidP="00D82D02">
      <w:pPr>
        <w:autoSpaceDE w:val="0"/>
        <w:autoSpaceDN w:val="0"/>
        <w:adjustRightInd w:val="0"/>
        <w:rPr>
          <w:rFonts w:ascii="Arial" w:hAnsi="Arial" w:cs="Arial"/>
          <w:sz w:val="18"/>
          <w:szCs w:val="18"/>
        </w:rPr>
      </w:pPr>
    </w:p>
    <w:p w:rsidR="00107AC7" w:rsidRDefault="00107AC7" w:rsidP="00EC2F91">
      <w:pPr>
        <w:autoSpaceDE w:val="0"/>
        <w:autoSpaceDN w:val="0"/>
        <w:adjustRightInd w:val="0"/>
        <w:ind w:left="-180"/>
        <w:rPr>
          <w:rFonts w:ascii="Arial" w:hAnsi="Arial" w:cs="Arial"/>
          <w:noProof/>
          <w:sz w:val="18"/>
          <w:szCs w:val="18"/>
        </w:rPr>
      </w:pPr>
    </w:p>
    <w:p w:rsidR="00E86409" w:rsidRPr="00E85FDB" w:rsidRDefault="00E86409" w:rsidP="00EC2F91">
      <w:pPr>
        <w:autoSpaceDE w:val="0"/>
        <w:autoSpaceDN w:val="0"/>
        <w:adjustRightInd w:val="0"/>
        <w:ind w:left="-180"/>
        <w:rPr>
          <w:rFonts w:ascii="Arial" w:hAnsi="Arial" w:cs="Arial"/>
          <w:sz w:val="18"/>
          <w:szCs w:val="18"/>
        </w:rPr>
      </w:pPr>
    </w:p>
    <w:p w:rsidR="00E86409" w:rsidRPr="00E85FDB" w:rsidRDefault="00E86409" w:rsidP="00A658EB">
      <w:pPr>
        <w:autoSpaceDE w:val="0"/>
        <w:autoSpaceDN w:val="0"/>
        <w:adjustRightInd w:val="0"/>
        <w:rPr>
          <w:rFonts w:ascii="Arial" w:hAnsi="Arial" w:cs="Arial"/>
          <w:sz w:val="18"/>
          <w:szCs w:val="18"/>
        </w:rPr>
      </w:pPr>
    </w:p>
    <w:p w:rsidR="00E86409" w:rsidRDefault="00E86409" w:rsidP="00845EA0">
      <w:pPr>
        <w:autoSpaceDE w:val="0"/>
        <w:autoSpaceDN w:val="0"/>
        <w:adjustRightInd w:val="0"/>
        <w:ind w:left="-360"/>
        <w:rPr>
          <w:rFonts w:ascii="Arial" w:hAnsi="Arial" w:cs="Arial"/>
          <w:sz w:val="18"/>
          <w:szCs w:val="18"/>
        </w:rPr>
      </w:pPr>
    </w:p>
    <w:p w:rsidR="00E86409" w:rsidRDefault="00E86409" w:rsidP="00845EA0">
      <w:pPr>
        <w:autoSpaceDE w:val="0"/>
        <w:autoSpaceDN w:val="0"/>
        <w:adjustRightInd w:val="0"/>
        <w:ind w:left="-360"/>
        <w:rPr>
          <w:rFonts w:ascii="Arial" w:hAnsi="Arial" w:cs="Arial"/>
          <w:b/>
          <w:bCs/>
          <w:sz w:val="18"/>
          <w:szCs w:val="18"/>
        </w:rPr>
        <w:sectPr w:rsidR="00E86409" w:rsidSect="00A14A27">
          <w:pgSz w:w="12240" w:h="15840"/>
          <w:pgMar w:top="567" w:right="1134" w:bottom="720" w:left="1134" w:header="709" w:footer="709" w:gutter="0"/>
          <w:cols w:space="708"/>
          <w:noEndnote/>
          <w:docGrid w:linePitch="326"/>
        </w:sectPr>
      </w:pPr>
    </w:p>
    <w:p w:rsidR="00E86409" w:rsidRPr="00DF7639" w:rsidRDefault="00E86409" w:rsidP="00C36710">
      <w:pPr>
        <w:autoSpaceDE w:val="0"/>
        <w:autoSpaceDN w:val="0"/>
        <w:adjustRightInd w:val="0"/>
        <w:ind w:left="-360" w:firstLine="180"/>
        <w:rPr>
          <w:rFonts w:ascii="Arial" w:hAnsi="Arial" w:cs="Arial"/>
          <w:b/>
          <w:bCs/>
          <w:sz w:val="20"/>
          <w:szCs w:val="20"/>
        </w:rPr>
      </w:pPr>
      <w:r>
        <w:rPr>
          <w:rFonts w:ascii="Arial" w:hAnsi="Arial"/>
          <w:b/>
          <w:sz w:val="20"/>
        </w:rPr>
        <w:lastRenderedPageBreak/>
        <w:t>Zloženie:</w:t>
      </w:r>
    </w:p>
    <w:p w:rsidR="00E86409" w:rsidRDefault="00E86409" w:rsidP="00FF64FC">
      <w:pPr>
        <w:autoSpaceDE w:val="0"/>
        <w:autoSpaceDN w:val="0"/>
        <w:adjustRightInd w:val="0"/>
        <w:ind w:left="-360" w:firstLine="180"/>
        <w:rPr>
          <w:rFonts w:ascii="Arial" w:hAnsi="Arial" w:cs="Arial"/>
          <w:sz w:val="20"/>
          <w:szCs w:val="20"/>
        </w:rPr>
      </w:pPr>
      <w:r>
        <w:rPr>
          <w:rFonts w:ascii="Arial" w:hAnsi="Arial"/>
          <w:sz w:val="20"/>
        </w:rPr>
        <w:t>Voda, disperzné spojivo,</w:t>
      </w:r>
    </w:p>
    <w:p w:rsidR="00E86409" w:rsidRDefault="00E86409" w:rsidP="00FF64FC">
      <w:pPr>
        <w:autoSpaceDE w:val="0"/>
        <w:autoSpaceDN w:val="0"/>
        <w:adjustRightInd w:val="0"/>
        <w:ind w:left="-360" w:firstLine="180"/>
        <w:rPr>
          <w:rFonts w:ascii="Arial" w:hAnsi="Arial" w:cs="Arial"/>
          <w:sz w:val="20"/>
          <w:szCs w:val="20"/>
        </w:rPr>
      </w:pPr>
      <w:r>
        <w:rPr>
          <w:rFonts w:ascii="Arial" w:hAnsi="Arial"/>
          <w:sz w:val="20"/>
        </w:rPr>
        <w:t>plnivá</w:t>
      </w:r>
    </w:p>
    <w:p w:rsidR="00E86409" w:rsidRDefault="00E86409" w:rsidP="00C36710">
      <w:pPr>
        <w:autoSpaceDE w:val="0"/>
        <w:autoSpaceDN w:val="0"/>
        <w:adjustRightInd w:val="0"/>
        <w:ind w:left="-360" w:firstLine="180"/>
        <w:rPr>
          <w:rFonts w:ascii="Arial" w:hAnsi="Arial" w:cs="Arial"/>
          <w:b/>
          <w:bCs/>
          <w:sz w:val="20"/>
          <w:szCs w:val="20"/>
        </w:rPr>
      </w:pPr>
    </w:p>
    <w:p w:rsidR="00E86409" w:rsidRPr="00DF7639" w:rsidRDefault="00E86409" w:rsidP="00C36710">
      <w:pPr>
        <w:autoSpaceDE w:val="0"/>
        <w:autoSpaceDN w:val="0"/>
        <w:adjustRightInd w:val="0"/>
        <w:ind w:left="-360" w:firstLine="180"/>
        <w:rPr>
          <w:rFonts w:ascii="Arial" w:hAnsi="Arial" w:cs="Arial"/>
          <w:b/>
          <w:bCs/>
          <w:sz w:val="20"/>
          <w:szCs w:val="20"/>
        </w:rPr>
      </w:pPr>
      <w:r>
        <w:rPr>
          <w:rFonts w:ascii="Arial" w:hAnsi="Arial"/>
          <w:b/>
          <w:sz w:val="20"/>
        </w:rPr>
        <w:t>Doba kompletného zaschnutia:</w:t>
      </w:r>
    </w:p>
    <w:p w:rsidR="00E86409" w:rsidRPr="00DF7639" w:rsidRDefault="00E86409" w:rsidP="00D52246">
      <w:pPr>
        <w:autoSpaceDE w:val="0"/>
        <w:autoSpaceDN w:val="0"/>
        <w:adjustRightInd w:val="0"/>
        <w:ind w:left="-360" w:firstLine="180"/>
        <w:rPr>
          <w:rFonts w:ascii="Arial" w:hAnsi="Arial" w:cs="Arial"/>
          <w:sz w:val="20"/>
          <w:szCs w:val="20"/>
        </w:rPr>
      </w:pPr>
      <w:r>
        <w:rPr>
          <w:rFonts w:ascii="Arial" w:hAnsi="Arial"/>
          <w:sz w:val="20"/>
        </w:rPr>
        <w:t>cca 6 hod.</w:t>
      </w:r>
    </w:p>
    <w:p w:rsidR="00E86409" w:rsidRPr="00DF7639" w:rsidRDefault="00E86409" w:rsidP="00D52246">
      <w:pPr>
        <w:autoSpaceDE w:val="0"/>
        <w:autoSpaceDN w:val="0"/>
        <w:adjustRightInd w:val="0"/>
        <w:rPr>
          <w:rFonts w:ascii="Arial" w:hAnsi="Arial" w:cs="Arial"/>
          <w:b/>
          <w:bCs/>
          <w:sz w:val="20"/>
          <w:szCs w:val="20"/>
        </w:rPr>
      </w:pPr>
    </w:p>
    <w:p w:rsidR="00E86409" w:rsidRPr="00DF7639" w:rsidRDefault="00E86409" w:rsidP="00D52246">
      <w:pPr>
        <w:autoSpaceDE w:val="0"/>
        <w:autoSpaceDN w:val="0"/>
        <w:adjustRightInd w:val="0"/>
        <w:ind w:left="-360" w:firstLine="180"/>
        <w:rPr>
          <w:rFonts w:ascii="Arial" w:hAnsi="Arial" w:cs="Arial"/>
          <w:b/>
          <w:bCs/>
          <w:sz w:val="20"/>
          <w:szCs w:val="20"/>
        </w:rPr>
      </w:pPr>
      <w:r>
        <w:rPr>
          <w:rFonts w:ascii="Arial" w:hAnsi="Arial"/>
          <w:b/>
          <w:sz w:val="20"/>
        </w:rPr>
        <w:t>Hustota:</w:t>
      </w:r>
    </w:p>
    <w:p w:rsidR="00E86409" w:rsidRPr="00DF7639" w:rsidRDefault="00E86409" w:rsidP="00D52246">
      <w:pPr>
        <w:autoSpaceDE w:val="0"/>
        <w:autoSpaceDN w:val="0"/>
        <w:adjustRightInd w:val="0"/>
        <w:ind w:left="-360" w:firstLine="180"/>
        <w:rPr>
          <w:rFonts w:ascii="Arial" w:hAnsi="Arial" w:cs="Arial"/>
          <w:sz w:val="20"/>
          <w:szCs w:val="20"/>
        </w:rPr>
      </w:pPr>
      <w:r>
        <w:rPr>
          <w:rFonts w:ascii="Arial" w:hAnsi="Arial"/>
          <w:sz w:val="20"/>
        </w:rPr>
        <w:t>cca 1,05 - 1,15 g/cm³</w:t>
      </w:r>
    </w:p>
    <w:p w:rsidR="00E86409" w:rsidRDefault="00E86409" w:rsidP="00323BCA">
      <w:pPr>
        <w:autoSpaceDE w:val="0"/>
        <w:autoSpaceDN w:val="0"/>
        <w:adjustRightInd w:val="0"/>
        <w:ind w:left="-360" w:firstLine="180"/>
        <w:rPr>
          <w:rFonts w:ascii="Arial" w:hAnsi="Arial" w:cs="Arial"/>
          <w:b/>
          <w:bCs/>
          <w:sz w:val="20"/>
          <w:szCs w:val="20"/>
        </w:rPr>
      </w:pPr>
    </w:p>
    <w:p w:rsidR="00E86409" w:rsidRPr="00DF7639" w:rsidRDefault="00E86409" w:rsidP="00323BCA">
      <w:pPr>
        <w:autoSpaceDE w:val="0"/>
        <w:autoSpaceDN w:val="0"/>
        <w:adjustRightInd w:val="0"/>
        <w:ind w:left="-360" w:firstLine="180"/>
        <w:rPr>
          <w:rFonts w:ascii="Arial" w:hAnsi="Arial" w:cs="Arial"/>
          <w:b/>
          <w:bCs/>
          <w:sz w:val="20"/>
          <w:szCs w:val="20"/>
        </w:rPr>
      </w:pPr>
      <w:r>
        <w:rPr>
          <w:rFonts w:ascii="Arial" w:hAnsi="Arial"/>
          <w:b/>
          <w:sz w:val="20"/>
        </w:rPr>
        <w:t>Teplota pri zapracovaní:</w:t>
      </w:r>
    </w:p>
    <w:p w:rsidR="00E86409" w:rsidRPr="00DF7639" w:rsidRDefault="00E86409" w:rsidP="00323BCA">
      <w:pPr>
        <w:autoSpaceDE w:val="0"/>
        <w:autoSpaceDN w:val="0"/>
        <w:adjustRightInd w:val="0"/>
        <w:ind w:left="-360" w:firstLine="180"/>
        <w:rPr>
          <w:rFonts w:ascii="Arial" w:hAnsi="Arial" w:cs="Arial"/>
          <w:sz w:val="20"/>
          <w:szCs w:val="20"/>
        </w:rPr>
      </w:pPr>
      <w:r>
        <w:rPr>
          <w:rFonts w:ascii="Arial" w:hAnsi="Arial"/>
          <w:sz w:val="20"/>
        </w:rPr>
        <w:t>od +5ºC do +30 ºC</w:t>
      </w:r>
      <w:r>
        <w:rPr>
          <w:rFonts w:ascii="Arial" w:hAnsi="Arial"/>
          <w:b/>
          <w:sz w:val="20"/>
        </w:rPr>
        <w:t xml:space="preserve">                                                              </w:t>
      </w:r>
    </w:p>
    <w:p w:rsidR="00E86409" w:rsidRPr="00323BCA" w:rsidRDefault="00E86409" w:rsidP="00323BCA">
      <w:pPr>
        <w:autoSpaceDE w:val="0"/>
        <w:autoSpaceDN w:val="0"/>
        <w:adjustRightInd w:val="0"/>
        <w:ind w:left="-360" w:firstLine="180"/>
        <w:rPr>
          <w:rFonts w:ascii="Arial" w:hAnsi="Arial" w:cs="Arial"/>
          <w:b/>
          <w:bCs/>
          <w:sz w:val="20"/>
          <w:szCs w:val="20"/>
        </w:rPr>
      </w:pPr>
      <w:r>
        <w:rPr>
          <w:rFonts w:ascii="Arial" w:hAnsi="Arial"/>
          <w:b/>
          <w:sz w:val="20"/>
        </w:rPr>
        <w:lastRenderedPageBreak/>
        <w:t>VOC informácia:</w:t>
      </w:r>
    </w:p>
    <w:p w:rsidR="00E86409" w:rsidRPr="00323BCA" w:rsidRDefault="00E86409" w:rsidP="000541A1">
      <w:pPr>
        <w:ind w:left="-120"/>
        <w:rPr>
          <w:rFonts w:ascii="Arial" w:hAnsi="Arial" w:cs="Arial"/>
          <w:sz w:val="20"/>
          <w:szCs w:val="20"/>
        </w:rPr>
      </w:pPr>
      <w:r>
        <w:rPr>
          <w:rFonts w:ascii="Arial" w:hAnsi="Arial"/>
          <w:sz w:val="20"/>
        </w:rPr>
        <w:t>Hraničná hodnota podľa EU pre tento produkt (A/g): 30 g/l (2010).</w:t>
      </w:r>
    </w:p>
    <w:p w:rsidR="00E86409" w:rsidRPr="00323BCA" w:rsidRDefault="00E86409" w:rsidP="00323BCA">
      <w:pPr>
        <w:ind w:left="-120"/>
        <w:rPr>
          <w:rFonts w:ascii="Arial" w:hAnsi="Arial" w:cs="Arial"/>
          <w:sz w:val="20"/>
          <w:szCs w:val="20"/>
        </w:rPr>
      </w:pPr>
      <w:r>
        <w:rPr>
          <w:rFonts w:ascii="Arial" w:hAnsi="Arial"/>
          <w:sz w:val="20"/>
        </w:rPr>
        <w:t>Maximálny obsah VOC v tomto produkte je 30 g/l.</w:t>
      </w:r>
    </w:p>
    <w:p w:rsidR="00E86409" w:rsidRPr="00323BCA" w:rsidRDefault="00E86409" w:rsidP="00323BCA">
      <w:pPr>
        <w:autoSpaceDE w:val="0"/>
        <w:autoSpaceDN w:val="0"/>
        <w:adjustRightInd w:val="0"/>
        <w:ind w:left="-120"/>
        <w:rPr>
          <w:rFonts w:ascii="Arial" w:hAnsi="Arial" w:cs="Arial"/>
          <w:sz w:val="20"/>
          <w:szCs w:val="20"/>
        </w:rPr>
      </w:pPr>
    </w:p>
    <w:p w:rsidR="00E86409" w:rsidRPr="00323BCA" w:rsidRDefault="00E86409" w:rsidP="00C36710">
      <w:pPr>
        <w:autoSpaceDE w:val="0"/>
        <w:autoSpaceDN w:val="0"/>
        <w:adjustRightInd w:val="0"/>
        <w:ind w:left="-360" w:firstLine="180"/>
        <w:rPr>
          <w:rFonts w:ascii="Arial" w:hAnsi="Arial" w:cs="Arial"/>
          <w:b/>
          <w:bCs/>
          <w:sz w:val="20"/>
          <w:szCs w:val="20"/>
        </w:rPr>
      </w:pPr>
      <w:r>
        <w:rPr>
          <w:rFonts w:ascii="Arial" w:hAnsi="Arial"/>
          <w:b/>
          <w:sz w:val="20"/>
        </w:rPr>
        <w:t>Balenie:</w:t>
      </w:r>
    </w:p>
    <w:p w:rsidR="00E86409" w:rsidRPr="00323BCA" w:rsidRDefault="00E86409" w:rsidP="00C36710">
      <w:pPr>
        <w:autoSpaceDE w:val="0"/>
        <w:autoSpaceDN w:val="0"/>
        <w:adjustRightInd w:val="0"/>
        <w:ind w:left="-360" w:firstLine="180"/>
        <w:rPr>
          <w:rFonts w:ascii="Arial" w:hAnsi="Arial" w:cs="Arial"/>
          <w:sz w:val="20"/>
          <w:szCs w:val="20"/>
        </w:rPr>
      </w:pPr>
      <w:r>
        <w:rPr>
          <w:rFonts w:ascii="Arial" w:hAnsi="Arial"/>
          <w:sz w:val="20"/>
        </w:rPr>
        <w:t>2,5 kg</w:t>
      </w:r>
    </w:p>
    <w:p w:rsidR="00E86409" w:rsidRPr="00323BCA" w:rsidRDefault="00E86409" w:rsidP="003D2EFB">
      <w:pPr>
        <w:autoSpaceDE w:val="0"/>
        <w:autoSpaceDN w:val="0"/>
        <w:adjustRightInd w:val="0"/>
        <w:ind w:left="-360" w:firstLine="180"/>
        <w:rPr>
          <w:rFonts w:ascii="Arial" w:hAnsi="Arial" w:cs="Arial"/>
          <w:sz w:val="20"/>
          <w:szCs w:val="20"/>
        </w:rPr>
      </w:pPr>
      <w:r>
        <w:rPr>
          <w:rFonts w:ascii="Arial" w:hAnsi="Arial"/>
          <w:sz w:val="20"/>
        </w:rPr>
        <w:t>5 kg</w:t>
      </w:r>
    </w:p>
    <w:p w:rsidR="00E86409" w:rsidRPr="00323BCA" w:rsidRDefault="00E86409" w:rsidP="00C36710">
      <w:pPr>
        <w:autoSpaceDE w:val="0"/>
        <w:autoSpaceDN w:val="0"/>
        <w:adjustRightInd w:val="0"/>
        <w:ind w:left="-360" w:firstLine="180"/>
        <w:rPr>
          <w:rFonts w:ascii="Arial" w:hAnsi="Arial" w:cs="Arial"/>
          <w:sz w:val="20"/>
          <w:szCs w:val="20"/>
        </w:rPr>
      </w:pPr>
      <w:r>
        <w:rPr>
          <w:rFonts w:ascii="Arial" w:hAnsi="Arial"/>
          <w:sz w:val="20"/>
        </w:rPr>
        <w:t xml:space="preserve">vzduchotesné plastové vedro  </w:t>
      </w:r>
    </w:p>
    <w:p w:rsidR="00E86409" w:rsidRPr="00DF7639" w:rsidRDefault="00E86409" w:rsidP="00C36710">
      <w:pPr>
        <w:autoSpaceDE w:val="0"/>
        <w:autoSpaceDN w:val="0"/>
        <w:adjustRightInd w:val="0"/>
        <w:ind w:left="-360" w:firstLine="180"/>
        <w:rPr>
          <w:rFonts w:ascii="Arial" w:hAnsi="Arial" w:cs="Arial"/>
          <w:sz w:val="20"/>
          <w:szCs w:val="20"/>
        </w:rPr>
      </w:pPr>
      <w:r>
        <w:rPr>
          <w:rFonts w:ascii="Arial" w:hAnsi="Arial"/>
          <w:sz w:val="20"/>
        </w:rPr>
        <w:t>vedro</w:t>
      </w:r>
    </w:p>
    <w:p w:rsidR="00E86409" w:rsidRDefault="00E86409" w:rsidP="00DF7639">
      <w:pPr>
        <w:autoSpaceDE w:val="0"/>
        <w:autoSpaceDN w:val="0"/>
        <w:adjustRightInd w:val="0"/>
        <w:ind w:left="-360" w:firstLine="180"/>
        <w:rPr>
          <w:rFonts w:ascii="Arial" w:hAnsi="Arial" w:cs="Arial"/>
          <w:b/>
          <w:bCs/>
          <w:sz w:val="20"/>
          <w:szCs w:val="20"/>
        </w:rPr>
      </w:pPr>
    </w:p>
    <w:p w:rsidR="00E86409" w:rsidRPr="00DF7639" w:rsidRDefault="00E86409" w:rsidP="00DF7639">
      <w:pPr>
        <w:autoSpaceDE w:val="0"/>
        <w:autoSpaceDN w:val="0"/>
        <w:adjustRightInd w:val="0"/>
        <w:ind w:left="-360" w:firstLine="180"/>
        <w:rPr>
          <w:rFonts w:ascii="Arial" w:hAnsi="Arial" w:cs="Arial"/>
          <w:sz w:val="20"/>
          <w:szCs w:val="20"/>
        </w:rPr>
      </w:pPr>
      <w:r>
        <w:rPr>
          <w:rFonts w:ascii="Arial" w:hAnsi="Arial"/>
          <w:b/>
          <w:sz w:val="20"/>
        </w:rPr>
        <w:t xml:space="preserve">Farba: </w:t>
      </w:r>
      <w:r>
        <w:rPr>
          <w:rFonts w:ascii="Arial" w:hAnsi="Arial"/>
          <w:sz w:val="20"/>
        </w:rPr>
        <w:t>svetlomodrá</w:t>
      </w:r>
    </w:p>
    <w:p w:rsidR="00E86409" w:rsidRPr="00DF7639" w:rsidRDefault="00E86409" w:rsidP="00D52246">
      <w:pPr>
        <w:autoSpaceDE w:val="0"/>
        <w:autoSpaceDN w:val="0"/>
        <w:adjustRightInd w:val="0"/>
        <w:ind w:left="-360" w:firstLine="180"/>
        <w:rPr>
          <w:rFonts w:ascii="Arial" w:hAnsi="Arial" w:cs="Arial"/>
          <w:b/>
          <w:bCs/>
          <w:sz w:val="20"/>
          <w:szCs w:val="20"/>
        </w:rPr>
      </w:pPr>
    </w:p>
    <w:p w:rsidR="00E86409" w:rsidRPr="00DF7639" w:rsidRDefault="00E86409" w:rsidP="00D52246">
      <w:pPr>
        <w:autoSpaceDE w:val="0"/>
        <w:autoSpaceDN w:val="0"/>
        <w:adjustRightInd w:val="0"/>
        <w:ind w:left="-360" w:firstLine="180"/>
        <w:rPr>
          <w:rFonts w:ascii="Arial" w:hAnsi="Arial" w:cs="Arial"/>
          <w:b/>
          <w:bCs/>
          <w:sz w:val="20"/>
          <w:szCs w:val="20"/>
        </w:rPr>
      </w:pPr>
      <w:r>
        <w:rPr>
          <w:rFonts w:ascii="Arial" w:hAnsi="Arial"/>
          <w:b/>
          <w:sz w:val="20"/>
        </w:rPr>
        <w:t>Výdatnosť:</w:t>
      </w:r>
    </w:p>
    <w:p w:rsidR="00E86409" w:rsidRPr="00DF7639" w:rsidRDefault="00E86409" w:rsidP="00D52246">
      <w:pPr>
        <w:autoSpaceDE w:val="0"/>
        <w:autoSpaceDN w:val="0"/>
        <w:adjustRightInd w:val="0"/>
        <w:ind w:left="-360" w:firstLine="180"/>
        <w:rPr>
          <w:rFonts w:ascii="Arial" w:hAnsi="Arial" w:cs="Arial"/>
          <w:sz w:val="20"/>
          <w:szCs w:val="20"/>
        </w:rPr>
      </w:pPr>
      <w:r>
        <w:rPr>
          <w:rFonts w:ascii="Arial" w:hAnsi="Arial"/>
          <w:sz w:val="20"/>
        </w:rPr>
        <w:t>cca 0,25 kg/m²</w:t>
      </w:r>
    </w:p>
    <w:p w:rsidR="00E86409" w:rsidRPr="00DF7639" w:rsidRDefault="00E86409" w:rsidP="00D52246">
      <w:pPr>
        <w:autoSpaceDE w:val="0"/>
        <w:autoSpaceDN w:val="0"/>
        <w:adjustRightInd w:val="0"/>
        <w:rPr>
          <w:rFonts w:ascii="Arial" w:hAnsi="Arial" w:cs="Arial"/>
          <w:sz w:val="20"/>
          <w:szCs w:val="20"/>
        </w:rPr>
      </w:pPr>
    </w:p>
    <w:p w:rsidR="00E86409" w:rsidRPr="00DF7639" w:rsidRDefault="00E86409" w:rsidP="00D52246">
      <w:pPr>
        <w:autoSpaceDE w:val="0"/>
        <w:autoSpaceDN w:val="0"/>
        <w:adjustRightInd w:val="0"/>
        <w:ind w:left="-360" w:firstLine="180"/>
        <w:rPr>
          <w:rFonts w:ascii="Arial" w:hAnsi="Arial" w:cs="Arial"/>
          <w:b/>
          <w:bCs/>
          <w:sz w:val="20"/>
          <w:szCs w:val="20"/>
        </w:rPr>
      </w:pPr>
      <w:r>
        <w:rPr>
          <w:rFonts w:ascii="Arial" w:hAnsi="Arial"/>
          <w:b/>
          <w:sz w:val="20"/>
        </w:rPr>
        <w:t>Spotrebujte do:</w:t>
      </w:r>
    </w:p>
    <w:p w:rsidR="00E86409" w:rsidRPr="00DF7639" w:rsidRDefault="00E86409" w:rsidP="00D52246">
      <w:pPr>
        <w:autoSpaceDE w:val="0"/>
        <w:autoSpaceDN w:val="0"/>
        <w:adjustRightInd w:val="0"/>
        <w:ind w:left="-360" w:firstLine="180"/>
        <w:rPr>
          <w:rFonts w:ascii="Arial" w:hAnsi="Arial" w:cs="Arial"/>
          <w:sz w:val="20"/>
          <w:szCs w:val="20"/>
        </w:rPr>
      </w:pPr>
      <w:r>
        <w:rPr>
          <w:rFonts w:ascii="Arial" w:hAnsi="Arial"/>
          <w:sz w:val="20"/>
        </w:rPr>
        <w:t xml:space="preserve">24 mesiacov na suchom, chladnom mieste </w:t>
      </w:r>
    </w:p>
    <w:p w:rsidR="00E86409" w:rsidRPr="00DF7639" w:rsidRDefault="00E86409" w:rsidP="00D52246">
      <w:pPr>
        <w:autoSpaceDE w:val="0"/>
        <w:autoSpaceDN w:val="0"/>
        <w:adjustRightInd w:val="0"/>
        <w:ind w:left="-360" w:firstLine="180"/>
        <w:rPr>
          <w:rFonts w:ascii="Arial" w:hAnsi="Arial" w:cs="Arial"/>
          <w:sz w:val="20"/>
          <w:szCs w:val="20"/>
        </w:rPr>
      </w:pPr>
      <w:r>
        <w:rPr>
          <w:rFonts w:ascii="Arial" w:hAnsi="Arial"/>
          <w:sz w:val="20"/>
        </w:rPr>
        <w:t xml:space="preserve">v pôvodnom, dobre uzavretom obale </w:t>
      </w:r>
    </w:p>
    <w:p w:rsidR="00E86409" w:rsidRPr="00DF7639" w:rsidRDefault="00E86409" w:rsidP="00D52246">
      <w:pPr>
        <w:autoSpaceDE w:val="0"/>
        <w:autoSpaceDN w:val="0"/>
        <w:adjustRightInd w:val="0"/>
        <w:ind w:left="-360" w:firstLine="180"/>
        <w:rPr>
          <w:rFonts w:ascii="Arial" w:hAnsi="Arial" w:cs="Arial"/>
          <w:sz w:val="20"/>
          <w:szCs w:val="20"/>
        </w:rPr>
      </w:pPr>
      <w:r>
        <w:rPr>
          <w:rFonts w:ascii="Arial" w:hAnsi="Arial"/>
          <w:sz w:val="20"/>
        </w:rPr>
        <w:t>.</w:t>
      </w:r>
    </w:p>
    <w:p w:rsidR="00E86409" w:rsidRDefault="00E86409" w:rsidP="00D52246">
      <w:pPr>
        <w:autoSpaceDE w:val="0"/>
        <w:autoSpaceDN w:val="0"/>
        <w:adjustRightInd w:val="0"/>
        <w:rPr>
          <w:rFonts w:ascii="Arial" w:hAnsi="Arial" w:cs="Arial"/>
          <w:sz w:val="20"/>
          <w:szCs w:val="20"/>
        </w:rPr>
      </w:pPr>
    </w:p>
    <w:p w:rsidR="00E86409" w:rsidRDefault="00E86409" w:rsidP="00D52246">
      <w:pPr>
        <w:autoSpaceDE w:val="0"/>
        <w:autoSpaceDN w:val="0"/>
        <w:adjustRightInd w:val="0"/>
        <w:rPr>
          <w:rFonts w:ascii="Arial" w:hAnsi="Arial" w:cs="Arial"/>
          <w:sz w:val="20"/>
          <w:szCs w:val="20"/>
        </w:rPr>
      </w:pPr>
    </w:p>
    <w:p w:rsidR="00E86409" w:rsidRPr="00DF7639" w:rsidRDefault="00E86409" w:rsidP="00D52246">
      <w:pPr>
        <w:autoSpaceDE w:val="0"/>
        <w:autoSpaceDN w:val="0"/>
        <w:adjustRightInd w:val="0"/>
        <w:rPr>
          <w:rFonts w:ascii="Arial" w:hAnsi="Arial" w:cs="Arial"/>
          <w:sz w:val="20"/>
          <w:szCs w:val="20"/>
        </w:rPr>
        <w:sectPr w:rsidR="00E86409" w:rsidRPr="00DF7639" w:rsidSect="00E553A6">
          <w:type w:val="continuous"/>
          <w:pgSz w:w="12240" w:h="15840"/>
          <w:pgMar w:top="360" w:right="1134" w:bottom="1417" w:left="1134" w:header="708" w:footer="708" w:gutter="0"/>
          <w:cols w:num="3" w:space="708" w:equalWidth="0">
            <w:col w:w="2714" w:space="708"/>
            <w:col w:w="3128" w:space="708"/>
            <w:col w:w="2714"/>
          </w:cols>
          <w:noEndnote/>
        </w:sectPr>
      </w:pPr>
    </w:p>
    <w:p w:rsidR="00E86409" w:rsidRPr="00DF7639" w:rsidRDefault="00E86409" w:rsidP="00D52246">
      <w:pPr>
        <w:autoSpaceDE w:val="0"/>
        <w:autoSpaceDN w:val="0"/>
        <w:adjustRightInd w:val="0"/>
        <w:rPr>
          <w:rFonts w:ascii="Arial" w:hAnsi="Arial" w:cs="Arial"/>
          <w:b/>
          <w:bCs/>
          <w:sz w:val="20"/>
          <w:szCs w:val="20"/>
        </w:rPr>
        <w:sectPr w:rsidR="00E86409" w:rsidRPr="00DF7639" w:rsidSect="00E553A6">
          <w:type w:val="continuous"/>
          <w:pgSz w:w="12240" w:h="15840"/>
          <w:pgMar w:top="360" w:right="1134" w:bottom="1417" w:left="1134" w:header="708" w:footer="708" w:gutter="0"/>
          <w:cols w:space="708"/>
          <w:noEndnote/>
        </w:sectPr>
      </w:pPr>
    </w:p>
    <w:p w:rsidR="00E86409" w:rsidRPr="008A0833" w:rsidRDefault="00E86409" w:rsidP="00D52246">
      <w:pPr>
        <w:rPr>
          <w:rFonts w:ascii="Arial" w:hAnsi="Arial" w:cs="Arial"/>
          <w:sz w:val="18"/>
          <w:szCs w:val="18"/>
        </w:rPr>
      </w:pPr>
    </w:p>
    <w:p w:rsidR="00E86409" w:rsidRDefault="00E86409" w:rsidP="00C36710">
      <w:pPr>
        <w:ind w:left="-360" w:firstLine="180"/>
        <w:rPr>
          <w:rFonts w:ascii="Arial" w:hAnsi="Arial" w:cs="Arial"/>
          <w:sz w:val="18"/>
          <w:szCs w:val="18"/>
        </w:rPr>
      </w:pPr>
    </w:p>
    <w:p w:rsidR="00E86409" w:rsidRDefault="00E86409" w:rsidP="00C36710">
      <w:pPr>
        <w:ind w:left="-360" w:firstLine="180"/>
        <w:rPr>
          <w:rFonts w:ascii="Arial" w:hAnsi="Arial" w:cs="Arial"/>
          <w:sz w:val="18"/>
          <w:szCs w:val="18"/>
        </w:rPr>
      </w:pPr>
    </w:p>
    <w:p w:rsidR="00E86409" w:rsidRDefault="00E86409" w:rsidP="00C36710">
      <w:pPr>
        <w:autoSpaceDE w:val="0"/>
        <w:autoSpaceDN w:val="0"/>
        <w:adjustRightInd w:val="0"/>
        <w:ind w:left="-360" w:firstLine="180"/>
        <w:rPr>
          <w:rFonts w:ascii="Verdana-Bold" w:hAnsi="Verdana-Bold" w:cs="Verdana-Bold"/>
          <w:b/>
          <w:bCs/>
          <w:sz w:val="12"/>
          <w:szCs w:val="12"/>
        </w:rPr>
        <w:sectPr w:rsidR="00E86409" w:rsidSect="00E553A6">
          <w:type w:val="continuous"/>
          <w:pgSz w:w="12240" w:h="15840"/>
          <w:pgMar w:top="1417" w:right="1134" w:bottom="1417" w:left="1134" w:header="708" w:footer="708" w:gutter="0"/>
          <w:cols w:num="3" w:space="708" w:equalWidth="0">
            <w:col w:w="2946" w:space="708"/>
            <w:col w:w="2663" w:space="708"/>
            <w:col w:w="2946"/>
          </w:cols>
          <w:noEndnote/>
        </w:sectPr>
      </w:pPr>
    </w:p>
    <w:p w:rsidR="00E86409" w:rsidRDefault="00E86409" w:rsidP="00C36710">
      <w:pPr>
        <w:autoSpaceDE w:val="0"/>
        <w:autoSpaceDN w:val="0"/>
        <w:adjustRightInd w:val="0"/>
        <w:ind w:left="-360" w:firstLine="180"/>
        <w:rPr>
          <w:rFonts w:ascii="Arial Narrow" w:hAnsi="Arial Narrow" w:cs="Arial Narrow"/>
          <w:b/>
          <w:bCs/>
          <w:sz w:val="16"/>
          <w:szCs w:val="16"/>
        </w:rPr>
      </w:pPr>
    </w:p>
    <w:p w:rsidR="00E86409" w:rsidRDefault="00E86409" w:rsidP="00C36710">
      <w:pPr>
        <w:autoSpaceDE w:val="0"/>
        <w:autoSpaceDN w:val="0"/>
        <w:adjustRightInd w:val="0"/>
        <w:ind w:left="-360" w:firstLine="180"/>
        <w:rPr>
          <w:rFonts w:ascii="Arial Narrow" w:hAnsi="Arial Narrow" w:cs="Arial Narrow"/>
          <w:b/>
          <w:bCs/>
          <w:sz w:val="16"/>
          <w:szCs w:val="16"/>
        </w:rPr>
      </w:pPr>
    </w:p>
    <w:p w:rsidR="00E86409" w:rsidRDefault="00E86409" w:rsidP="00C36710">
      <w:pPr>
        <w:autoSpaceDE w:val="0"/>
        <w:autoSpaceDN w:val="0"/>
        <w:adjustRightInd w:val="0"/>
        <w:ind w:left="-360" w:firstLine="180"/>
        <w:rPr>
          <w:rFonts w:ascii="Arial Narrow" w:hAnsi="Arial Narrow" w:cs="Arial Narrow"/>
          <w:b/>
          <w:bCs/>
          <w:sz w:val="16"/>
          <w:szCs w:val="16"/>
        </w:rPr>
      </w:pPr>
    </w:p>
    <w:p w:rsidR="00E86409" w:rsidRDefault="00E86409" w:rsidP="00C36710">
      <w:pPr>
        <w:autoSpaceDE w:val="0"/>
        <w:autoSpaceDN w:val="0"/>
        <w:adjustRightInd w:val="0"/>
        <w:ind w:left="-360" w:firstLine="180"/>
        <w:rPr>
          <w:rFonts w:ascii="Arial Narrow" w:hAnsi="Arial Narrow" w:cs="Arial Narrow"/>
          <w:b/>
          <w:bCs/>
          <w:sz w:val="16"/>
          <w:szCs w:val="16"/>
        </w:rPr>
      </w:pPr>
    </w:p>
    <w:p w:rsidR="00E86409" w:rsidRDefault="00E86409" w:rsidP="00C36710">
      <w:pPr>
        <w:autoSpaceDE w:val="0"/>
        <w:autoSpaceDN w:val="0"/>
        <w:adjustRightInd w:val="0"/>
        <w:ind w:left="-360" w:firstLine="180"/>
        <w:rPr>
          <w:rFonts w:ascii="Arial Narrow" w:hAnsi="Arial Narrow" w:cs="Arial Narrow"/>
          <w:b/>
          <w:bCs/>
          <w:sz w:val="16"/>
          <w:szCs w:val="16"/>
        </w:rPr>
      </w:pPr>
    </w:p>
    <w:p w:rsidR="00E86409" w:rsidRDefault="00E86409" w:rsidP="00C36710">
      <w:pPr>
        <w:autoSpaceDE w:val="0"/>
        <w:autoSpaceDN w:val="0"/>
        <w:adjustRightInd w:val="0"/>
        <w:ind w:left="-360" w:firstLine="180"/>
        <w:rPr>
          <w:rFonts w:ascii="Arial Narrow" w:hAnsi="Arial Narrow" w:cs="Arial Narrow"/>
          <w:b/>
          <w:bCs/>
          <w:sz w:val="16"/>
          <w:szCs w:val="16"/>
        </w:rPr>
      </w:pPr>
    </w:p>
    <w:p w:rsidR="00E86409" w:rsidRDefault="00E86409" w:rsidP="00C36710">
      <w:pPr>
        <w:autoSpaceDE w:val="0"/>
        <w:autoSpaceDN w:val="0"/>
        <w:adjustRightInd w:val="0"/>
        <w:ind w:left="-360" w:firstLine="180"/>
        <w:rPr>
          <w:rFonts w:ascii="Arial Narrow" w:hAnsi="Arial Narrow" w:cs="Arial Narrow"/>
          <w:b/>
          <w:bCs/>
          <w:sz w:val="16"/>
          <w:szCs w:val="16"/>
        </w:rPr>
      </w:pPr>
    </w:p>
    <w:p w:rsidR="00E86409" w:rsidRDefault="00E86409" w:rsidP="00A02EF5">
      <w:pPr>
        <w:autoSpaceDE w:val="0"/>
        <w:autoSpaceDN w:val="0"/>
        <w:adjustRightInd w:val="0"/>
        <w:rPr>
          <w:rFonts w:ascii="Arial Narrow" w:hAnsi="Arial Narrow" w:cs="Arial Narrow"/>
          <w:b/>
          <w:bCs/>
          <w:sz w:val="16"/>
          <w:szCs w:val="16"/>
        </w:rPr>
      </w:pPr>
    </w:p>
    <w:p w:rsidR="00E86409" w:rsidRDefault="00E86409" w:rsidP="009E4867">
      <w:pPr>
        <w:autoSpaceDE w:val="0"/>
        <w:autoSpaceDN w:val="0"/>
        <w:adjustRightInd w:val="0"/>
        <w:rPr>
          <w:rFonts w:ascii="Arial Narrow" w:hAnsi="Arial Narrow" w:cs="Arial Narrow"/>
          <w:b/>
          <w:bCs/>
          <w:sz w:val="16"/>
          <w:szCs w:val="16"/>
        </w:rPr>
      </w:pPr>
    </w:p>
    <w:p w:rsidR="00E86409" w:rsidRDefault="00E86409" w:rsidP="00C36710">
      <w:pPr>
        <w:autoSpaceDE w:val="0"/>
        <w:autoSpaceDN w:val="0"/>
        <w:adjustRightInd w:val="0"/>
        <w:ind w:left="-360" w:firstLine="180"/>
        <w:rPr>
          <w:rFonts w:ascii="Arial Narrow" w:hAnsi="Arial Narrow" w:cs="Arial Narrow"/>
          <w:b/>
          <w:bCs/>
          <w:sz w:val="16"/>
          <w:szCs w:val="16"/>
        </w:rPr>
      </w:pPr>
    </w:p>
    <w:p w:rsidR="00E86409" w:rsidRDefault="00E86409" w:rsidP="00C36710">
      <w:pPr>
        <w:autoSpaceDE w:val="0"/>
        <w:autoSpaceDN w:val="0"/>
        <w:adjustRightInd w:val="0"/>
        <w:ind w:left="-360" w:firstLine="180"/>
        <w:rPr>
          <w:rFonts w:ascii="Arial Narrow" w:hAnsi="Arial Narrow" w:cs="Arial Narrow"/>
          <w:b/>
          <w:bCs/>
          <w:sz w:val="16"/>
          <w:szCs w:val="16"/>
        </w:rPr>
      </w:pPr>
      <w:bookmarkStart w:id="0" w:name="_GoBack"/>
      <w:bookmarkEnd w:id="0"/>
    </w:p>
    <w:p w:rsidR="00E86409" w:rsidRDefault="00E86409" w:rsidP="001F5308">
      <w:pPr>
        <w:autoSpaceDE w:val="0"/>
        <w:autoSpaceDN w:val="0"/>
        <w:adjustRightInd w:val="0"/>
        <w:ind w:left="-360" w:firstLine="180"/>
        <w:jc w:val="right"/>
        <w:rPr>
          <w:rFonts w:ascii="Arial Narrow" w:hAnsi="Arial Narrow" w:cs="Arial Narrow"/>
          <w:b/>
          <w:bCs/>
          <w:sz w:val="16"/>
          <w:szCs w:val="16"/>
        </w:rPr>
      </w:pPr>
      <w:r>
        <w:rPr>
          <w:rFonts w:ascii="Arial Narrow" w:hAnsi="Arial Narrow"/>
          <w:b/>
          <w:sz w:val="16"/>
        </w:rPr>
        <w:t xml:space="preserve">    </w:t>
      </w:r>
    </w:p>
    <w:p w:rsidR="00E86409" w:rsidRPr="001F5308" w:rsidRDefault="00E86409" w:rsidP="001F5308">
      <w:pPr>
        <w:autoSpaceDE w:val="0"/>
        <w:autoSpaceDN w:val="0"/>
        <w:adjustRightInd w:val="0"/>
        <w:ind w:left="-360" w:firstLine="180"/>
        <w:jc w:val="right"/>
        <w:rPr>
          <w:rFonts w:ascii="Arial Narrow" w:hAnsi="Arial Narrow" w:cs="Arial Narrow"/>
          <w:b/>
          <w:bCs/>
          <w:sz w:val="16"/>
          <w:szCs w:val="16"/>
        </w:rPr>
      </w:pPr>
      <w:r>
        <w:rPr>
          <w:rFonts w:ascii="Arial Narrow" w:hAnsi="Arial Narrow"/>
          <w:b/>
          <w:sz w:val="16"/>
        </w:rPr>
        <w:t xml:space="preserve">  </w:t>
      </w:r>
    </w:p>
    <w:p w:rsidR="00E86409" w:rsidRPr="00F351E0" w:rsidRDefault="00E86409" w:rsidP="00E553A6">
      <w:pPr>
        <w:autoSpaceDE w:val="0"/>
        <w:autoSpaceDN w:val="0"/>
        <w:adjustRightInd w:val="0"/>
        <w:ind w:left="720" w:right="203" w:hanging="720"/>
        <w:rPr>
          <w:rFonts w:ascii="Arial" w:hAnsi="Arial" w:cs="Arial"/>
          <w:b/>
          <w:bCs/>
          <w:sz w:val="16"/>
          <w:szCs w:val="16"/>
        </w:rPr>
      </w:pPr>
      <w:r>
        <w:rPr>
          <w:rFonts w:ascii="Arial" w:hAnsi="Arial"/>
          <w:b/>
          <w:sz w:val="16"/>
        </w:rPr>
        <w:t>Poznámka:</w:t>
      </w:r>
    </w:p>
    <w:p w:rsidR="00E86409" w:rsidRPr="00F351E0" w:rsidRDefault="00E86409" w:rsidP="009E4867">
      <w:pPr>
        <w:autoSpaceDE w:val="0"/>
        <w:autoSpaceDN w:val="0"/>
        <w:adjustRightInd w:val="0"/>
        <w:ind w:right="203"/>
        <w:jc w:val="both"/>
        <w:rPr>
          <w:rFonts w:ascii="Arial" w:hAnsi="Arial" w:cs="Arial"/>
          <w:sz w:val="16"/>
          <w:szCs w:val="16"/>
        </w:rPr>
      </w:pPr>
      <w:r>
        <w:rPr>
          <w:rFonts w:ascii="Arial" w:hAnsi="Arial"/>
          <w:sz w:val="16"/>
        </w:rPr>
        <w:t>Informácie uvedené na tomto technickom liste sme zostavili podľa našich najlepších vedomostí a znalostí. Tu uvedené parametre treba prispôsobiť k danej stavbe, danému účelu aplikácie a daným špeciálnym požiadavkám na zaťaženie. V prípade kritických oblastí aplikácie treba vykonať skúšobný nános. Za správnosť uvedených parametrov ručíme pri dodržaní vyššie uvedených zásad, v rámci predajných a dodacích podmienok. Odporúčania našich spolupracovníkov, ktoré sú odlišné od vyššie uvedených parametrov sú z našej strany záväzné, len ak sú potvrdené v písomnej forme. Materiály treba aplikovať vždy v súlade so všeobecnými odbornými znalosťami.</w:t>
      </w:r>
    </w:p>
    <w:sectPr w:rsidR="00E86409" w:rsidRPr="00F351E0" w:rsidSect="00E553A6">
      <w:type w:val="continuous"/>
      <w:pgSz w:w="12240" w:h="15840"/>
      <w:pgMar w:top="1417" w:right="1134" w:bottom="719" w:left="1134"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A5CD0"/>
    <w:multiLevelType w:val="hybridMultilevel"/>
    <w:tmpl w:val="A15E1420"/>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compat/>
  <w:rsids>
    <w:rsidRoot w:val="008E59B7"/>
    <w:rsid w:val="00011CF7"/>
    <w:rsid w:val="0002139E"/>
    <w:rsid w:val="000541A1"/>
    <w:rsid w:val="000A38C7"/>
    <w:rsid w:val="000C2DB0"/>
    <w:rsid w:val="000C5B3F"/>
    <w:rsid w:val="00107AC7"/>
    <w:rsid w:val="00123C28"/>
    <w:rsid w:val="0018212D"/>
    <w:rsid w:val="001E75BE"/>
    <w:rsid w:val="001F5308"/>
    <w:rsid w:val="0021264C"/>
    <w:rsid w:val="00220652"/>
    <w:rsid w:val="00236469"/>
    <w:rsid w:val="00323BCA"/>
    <w:rsid w:val="00333ACE"/>
    <w:rsid w:val="0034308D"/>
    <w:rsid w:val="00397330"/>
    <w:rsid w:val="00397DFD"/>
    <w:rsid w:val="003B7A18"/>
    <w:rsid w:val="003D2EFB"/>
    <w:rsid w:val="003E0B5F"/>
    <w:rsid w:val="004416A0"/>
    <w:rsid w:val="00457629"/>
    <w:rsid w:val="00486FE1"/>
    <w:rsid w:val="004B3221"/>
    <w:rsid w:val="004C2237"/>
    <w:rsid w:val="00531173"/>
    <w:rsid w:val="005778ED"/>
    <w:rsid w:val="005A53D6"/>
    <w:rsid w:val="00605FB4"/>
    <w:rsid w:val="0061260F"/>
    <w:rsid w:val="00654FF7"/>
    <w:rsid w:val="006D7B2D"/>
    <w:rsid w:val="006F7134"/>
    <w:rsid w:val="00741E90"/>
    <w:rsid w:val="00750FE9"/>
    <w:rsid w:val="00762C6B"/>
    <w:rsid w:val="0077502B"/>
    <w:rsid w:val="0078341A"/>
    <w:rsid w:val="007E7239"/>
    <w:rsid w:val="00805D26"/>
    <w:rsid w:val="00845EA0"/>
    <w:rsid w:val="00852C06"/>
    <w:rsid w:val="00882C85"/>
    <w:rsid w:val="008A0833"/>
    <w:rsid w:val="008A2BC6"/>
    <w:rsid w:val="008E4AEB"/>
    <w:rsid w:val="008E59B7"/>
    <w:rsid w:val="00900F13"/>
    <w:rsid w:val="00910172"/>
    <w:rsid w:val="00940451"/>
    <w:rsid w:val="009674DE"/>
    <w:rsid w:val="00985402"/>
    <w:rsid w:val="009A593E"/>
    <w:rsid w:val="009E2E64"/>
    <w:rsid w:val="009E4867"/>
    <w:rsid w:val="00A02EF5"/>
    <w:rsid w:val="00A14A27"/>
    <w:rsid w:val="00A37CE9"/>
    <w:rsid w:val="00A61C9F"/>
    <w:rsid w:val="00A658EB"/>
    <w:rsid w:val="00A73287"/>
    <w:rsid w:val="00AD48B0"/>
    <w:rsid w:val="00B33275"/>
    <w:rsid w:val="00B47ECB"/>
    <w:rsid w:val="00B60F41"/>
    <w:rsid w:val="00B758F4"/>
    <w:rsid w:val="00BC4681"/>
    <w:rsid w:val="00BF401B"/>
    <w:rsid w:val="00C0203C"/>
    <w:rsid w:val="00C202BB"/>
    <w:rsid w:val="00C36710"/>
    <w:rsid w:val="00CC38B6"/>
    <w:rsid w:val="00CC6492"/>
    <w:rsid w:val="00CF6DA5"/>
    <w:rsid w:val="00CF6DDB"/>
    <w:rsid w:val="00D07E79"/>
    <w:rsid w:val="00D52246"/>
    <w:rsid w:val="00D603A6"/>
    <w:rsid w:val="00D82D02"/>
    <w:rsid w:val="00D8480B"/>
    <w:rsid w:val="00D92031"/>
    <w:rsid w:val="00D96CB2"/>
    <w:rsid w:val="00D9778D"/>
    <w:rsid w:val="00DD39D0"/>
    <w:rsid w:val="00DF7639"/>
    <w:rsid w:val="00E0192F"/>
    <w:rsid w:val="00E21167"/>
    <w:rsid w:val="00E553A6"/>
    <w:rsid w:val="00E60406"/>
    <w:rsid w:val="00E80664"/>
    <w:rsid w:val="00E85FDB"/>
    <w:rsid w:val="00E86409"/>
    <w:rsid w:val="00E93596"/>
    <w:rsid w:val="00EA218E"/>
    <w:rsid w:val="00EC2F91"/>
    <w:rsid w:val="00F10F4F"/>
    <w:rsid w:val="00F26042"/>
    <w:rsid w:val="00F351E0"/>
    <w:rsid w:val="00F356D5"/>
    <w:rsid w:val="00F95905"/>
    <w:rsid w:val="00FF64FC"/>
    <w:rsid w:val="00FF67C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4308D"/>
    <w:rPr>
      <w:sz w:val="24"/>
      <w:szCs w:val="24"/>
      <w:lang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C2DB0"/>
    <w:rPr>
      <w:rFonts w:ascii="Tahoma" w:hAnsi="Tahoma" w:cs="Tahoma"/>
      <w:sz w:val="16"/>
      <w:szCs w:val="16"/>
    </w:rPr>
  </w:style>
  <w:style w:type="character" w:customStyle="1" w:styleId="TextbublinyChar">
    <w:name w:val="Text bubliny Char"/>
    <w:link w:val="Textbubliny"/>
    <w:uiPriority w:val="99"/>
    <w:locked/>
    <w:rsid w:val="000C2DB0"/>
    <w:rPr>
      <w:rFonts w:ascii="Tahoma" w:hAnsi="Tahoma" w:cs="Tahoma"/>
      <w:sz w:val="16"/>
      <w:szCs w:val="16"/>
    </w:rPr>
  </w:style>
  <w:style w:type="character" w:styleId="Zvraznenie">
    <w:name w:val="Emphasis"/>
    <w:uiPriority w:val="99"/>
    <w:qFormat/>
    <w:rsid w:val="00940451"/>
    <w:rPr>
      <w:i/>
      <w:iCs/>
    </w:rPr>
  </w:style>
  <w:style w:type="paragraph" w:customStyle="1" w:styleId="Default">
    <w:name w:val="Default"/>
    <w:uiPriority w:val="99"/>
    <w:rsid w:val="00B47ECB"/>
    <w:pPr>
      <w:autoSpaceDE w:val="0"/>
      <w:autoSpaceDN w:val="0"/>
      <w:adjustRightInd w:val="0"/>
    </w:pPr>
    <w:rPr>
      <w:rFonts w:ascii="Arial" w:hAnsi="Arial" w:cs="Arial"/>
      <w:color w:val="000000"/>
      <w:sz w:val="24"/>
      <w:szCs w:val="24"/>
      <w:lang w:bidi="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3509</Characters>
  <Application>Microsoft Office Word</Application>
  <DocSecurity>0</DocSecurity>
  <Lines>29</Lines>
  <Paragraphs>8</Paragraphs>
  <ScaleCrop>false</ScaleCrop>
  <Company>Peakston Kft.</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banizs.jozsef</dc:creator>
  <cp:lastModifiedBy>Admin</cp:lastModifiedBy>
  <cp:revision>2</cp:revision>
  <dcterms:created xsi:type="dcterms:W3CDTF">2021-10-12T11:52:00Z</dcterms:created>
  <dcterms:modified xsi:type="dcterms:W3CDTF">2021-10-12T11:52:00Z</dcterms:modified>
</cp:coreProperties>
</file>